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FFFFFF"/>
        <w:ind w:left="0" w:firstLine="0"/>
        <w:jc w:val="center"/>
        <w:rPr>
          <w:rFonts w:ascii="黑体" w:hAnsi="宋体" w:eastAsia="黑体" w:cs="黑体"/>
          <w:b/>
          <w:i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 xml:space="preserve"> </w:t>
      </w:r>
      <w:r>
        <w:rPr>
          <w:rFonts w:ascii="黑体" w:hAnsi="宋体" w:eastAsia="黑体" w:cs="黑体"/>
          <w:b/>
          <w:i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信息学院</w:t>
      </w:r>
      <w:r>
        <w:rPr>
          <w:rFonts w:hint="eastAsia" w:ascii="黑体" w:hAnsi="宋体" w:eastAsia="黑体" w:cs="黑体"/>
          <w:b/>
          <w:i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专业学位</w:t>
      </w:r>
      <w:r>
        <w:rPr>
          <w:rFonts w:ascii="黑体" w:hAnsi="宋体" w:eastAsia="黑体" w:cs="黑体"/>
          <w:b/>
          <w:i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工程</w:t>
      </w:r>
      <w:r>
        <w:rPr>
          <w:rFonts w:hint="eastAsia" w:ascii="黑体" w:hAnsi="宋体" w:eastAsia="黑体" w:cs="黑体"/>
          <w:b/>
          <w:i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硕士研究生答辩工作安排</w:t>
      </w:r>
    </w:p>
    <w:p>
      <w:pPr>
        <w:keepNext w:val="0"/>
        <w:keepLines w:val="0"/>
        <w:widowControl/>
        <w:suppressLineNumbers w:val="0"/>
        <w:shd w:val="clear" w:color="auto" w:fill="FFFFFF"/>
        <w:ind w:left="0" w:firstLine="0"/>
        <w:jc w:val="center"/>
        <w:rPr>
          <w:rFonts w:hint="eastAsia" w:ascii="黑体" w:hAnsi="宋体" w:eastAsia="黑体" w:cs="黑体"/>
          <w:b/>
          <w:i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 xml:space="preserve">  （</w:t>
      </w:r>
      <w:r>
        <w:rPr>
          <w:rFonts w:ascii="黑体" w:hAnsi="宋体" w:eastAsia="黑体" w:cs="黑体"/>
          <w:b/>
          <w:i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2018-2019</w:t>
      </w:r>
      <w:r>
        <w:rPr>
          <w:rFonts w:hint="eastAsia" w:ascii="黑体" w:hAnsi="宋体" w:eastAsia="黑体" w:cs="黑体"/>
          <w:b/>
          <w:i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学年第二学期）</w:t>
      </w:r>
    </w:p>
    <w:p>
      <w:pPr>
        <w:keepNext w:val="0"/>
        <w:keepLines w:val="0"/>
        <w:widowControl/>
        <w:suppressLineNumbers w:val="0"/>
        <w:shd w:val="clear" w:color="auto" w:fill="FFFFFF"/>
        <w:ind w:left="0" w:firstLine="0"/>
        <w:jc w:val="center"/>
        <w:rPr>
          <w:rFonts w:hint="eastAsia" w:ascii="黑体" w:hAnsi="宋体" w:eastAsia="黑体" w:cs="黑体"/>
          <w:b/>
          <w:i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widowControl/>
        <w:ind w:firstLine="241" w:firstLineChars="10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yellow"/>
        </w:rPr>
        <w:t>注：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highlight w:val="yellow"/>
        </w:rPr>
        <w:t>请准备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yellow"/>
          <w:lang w:val="en-US" w:eastAsia="zh-CN"/>
        </w:rPr>
        <w:t>本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highlight w:val="yellow"/>
        </w:rPr>
        <w:t>学期答辩的同学将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yellow"/>
        </w:rPr>
        <w:t>“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highlight w:val="yellow"/>
        </w:rPr>
        <w:t>姓名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yellow"/>
        </w:rPr>
        <w:t>，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highlight w:val="yellow"/>
        </w:rPr>
        <w:t>学号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yellow"/>
        </w:rPr>
        <w:t>，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highlight w:val="yellow"/>
        </w:rPr>
        <w:t>邮箱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yellow"/>
        </w:rPr>
        <w:t>，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highlight w:val="yellow"/>
        </w:rPr>
        <w:t>电话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yellow"/>
        </w:rPr>
        <w:t>，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highlight w:val="yellow"/>
        </w:rPr>
        <w:t>导师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yellow"/>
        </w:rPr>
        <w:t>”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highlight w:val="yellow"/>
        </w:rPr>
        <w:t>发到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yellow"/>
          <w:lang w:val="en-US" w:eastAsia="zh-CN"/>
        </w:rPr>
        <w:t>2014103596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yellow"/>
        </w:rPr>
        <w:t>@ruc.edu.cn</w:t>
      </w:r>
    </w:p>
    <w:p>
      <w:pPr>
        <w:widowControl/>
        <w:ind w:firstLine="241" w:firstLineChars="10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yellow"/>
        </w:rPr>
      </w:pPr>
    </w:p>
    <w:tbl>
      <w:tblPr>
        <w:tblStyle w:val="7"/>
        <w:tblW w:w="125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8"/>
        <w:gridCol w:w="1140"/>
        <w:gridCol w:w="4290"/>
        <w:gridCol w:w="5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482" w:firstLineChars="200"/>
              <w:jc w:val="both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具体要求</w:t>
            </w:r>
          </w:p>
        </w:tc>
        <w:tc>
          <w:tcPr>
            <w:tcW w:w="5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之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前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确认完成培养计划,填写《培养材料登记表》一式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两份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贴一寸照片，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导师签署意见后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纸质版交给教务秘书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信息楼253办公室吴老师收）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5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从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portal.ruc.edu.cn/ypy下载各自培养材料登记表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8" w:type="dxa"/>
            <w:vMerge w:val="continue"/>
            <w:tcBorders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提交论文定稿给导师审阅并同意答辩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进portal.ruc.edu.cn/ypy个人系统提交答辩申请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下载填写打印《答辩申请书》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论文独创性声明找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导师签字，纸质版交给教务秘书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学生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学院要求论文文献参考30篇以上，其中中文文献不低于二十篇，英文文献不低于10篇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1708" w:type="dxa"/>
            <w:vMerge w:val="continue"/>
            <w:tcBorders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导师审核学位论文，填写答辩推荐意见；导师对学位论文质量负有主要责任，学位论文不符合答辩要求，导师不可填写推荐意见。</w:t>
            </w:r>
          </w:p>
        </w:tc>
        <w:tc>
          <w:tcPr>
            <w:tcW w:w="5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之前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numPr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instrText xml:space="preserve"> HYPERLINK "mailto:提交准备重复率检测的论文电子版。发到邮箱2014103596@ruc.edu.cn"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提交论文电子版查重。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发到</w:t>
            </w: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邮箱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2014103596</w:t>
            </w:r>
            <w:r>
              <w:rPr>
                <w:rStyle w:val="6"/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@ruc.edu.cn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fldChar w:fldCharType="end"/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（邮件和论文命名为：姓名+学号+论文题目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建议提交论文前确认论文重复率不超过10%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电子论文重复率检测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电子论文重复率检测结果说明：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对软件检测重复率在30%以上的学位论文，责成修改，本学期不予推荐答辩；对重复率在10%以上，30%以下的论文，应视不同情况修改论文，修改合格后方可列入答辩计划库。</w:t>
            </w:r>
          </w:p>
        </w:tc>
        <w:tc>
          <w:tcPr>
            <w:tcW w:w="5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4月1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具体时间待定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完成预答辩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由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根据工程硕士的研究方向和论文内容聘请本学科（及相关学科）的导师3～5人（校内、校外不限）组成预答辩委员会。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预答辩通过方可进入下一阶段，预答辩未通过者，根据预答辩委员会意见，修改论文或延期答辩。</w:t>
            </w:r>
          </w:p>
        </w:tc>
        <w:tc>
          <w:tcPr>
            <w:tcW w:w="5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学生，导师，学院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1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日之前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教务秘书提交学院答辩计划，上报答辩名单。</w:t>
            </w:r>
          </w:p>
        </w:tc>
        <w:tc>
          <w:tcPr>
            <w:tcW w:w="5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学院。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逾期不接收答辩计划库之外的人员申请学位；已列入答辩计划库的人员，在规定时间内不得无故中止答辩。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4月15日前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交评阅论文电子版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numPr>
                <w:numId w:val="0"/>
              </w:num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按照中国人民大学论文格式要求排版，格式不符合要求的，评阅人有可能拒绝评阅；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instrText xml:space="preserve"> HYPERLINK "mailto:发到邮箱2014103596@ruc.edu.cn"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发到邮箱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2014103596</w:t>
            </w:r>
            <w:r>
              <w:rPr>
                <w:rStyle w:val="6"/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@ruc.edu.cn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widowControl/>
              <w:numPr>
                <w:numId w:val="0"/>
              </w:numPr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（邮件和论文命名为：评阅+姓名+学号+论文题目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论文格式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参阅研究生手册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确定评阅及答辩委员名单，填写《答辩委员会组成审核表》</w:t>
            </w:r>
          </w:p>
        </w:tc>
        <w:tc>
          <w:tcPr>
            <w:tcW w:w="5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学院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评阅人要求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hint="eastAsia" w:ascii="宋体" w:hAnsi="宋体" w:cs="宋体"/>
                <w:color w:val="000000"/>
              </w:rPr>
              <w:t>、学位论文评阅人组成不少于两人，由高等学校或科研机构教授或副教授（或相当职称的专家）注</w:t>
            </w:r>
            <w:r>
              <w:rPr>
                <w:rFonts w:hint="eastAsia" w:ascii="宋体" w:hAnsi="宋体" w:cs="宋体"/>
                <w:color w:val="000000"/>
              </w:rPr>
              <w:t>担任，指导教师不能作为论文评阅人；</w:t>
            </w:r>
          </w:p>
          <w:p>
            <w:pPr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、具有博士学位的我校讲师可担任硕士论文评阅人，但人数不超过论文评阅人总数的</w:t>
            </w:r>
            <w:r>
              <w:rPr>
                <w:rFonts w:ascii="宋体" w:hAnsi="宋体" w:cs="宋体"/>
                <w:color w:val="000000"/>
              </w:rPr>
              <w:t>1/2</w:t>
            </w:r>
            <w:r>
              <w:rPr>
                <w:rFonts w:hint="eastAsia" w:ascii="宋体" w:hAnsi="宋体" w:cs="宋体"/>
                <w:color w:val="000000"/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</w:t>
            </w:r>
            <w:r>
              <w:rPr>
                <w:rFonts w:hint="eastAsia" w:ascii="宋体" w:hAnsi="宋体" w:cs="宋体"/>
                <w:color w:val="000000"/>
              </w:rPr>
              <w:t>、学位论文评阅未通过，可修改论文半年后再次申请答辩。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答辩委员</w:t>
            </w:r>
            <w:r>
              <w:rPr>
                <w:rFonts w:hint="eastAsia" w:ascii="宋体" w:hAnsi="宋体" w:cs="宋体"/>
                <w:color w:val="000000"/>
              </w:rPr>
              <w:t>要求</w:t>
            </w:r>
          </w:p>
          <w:p>
            <w:pPr>
              <w:spacing w:line="300" w:lineRule="exac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hint="eastAsia" w:ascii="宋体" w:hAnsi="宋体" w:cs="宋体"/>
                <w:color w:val="000000"/>
              </w:rPr>
              <w:t>、专业学位硕士论文答辩委员会成员不少于四人，由教授或副教授（或相当职称的专家</w:t>
            </w:r>
            <w:r>
              <w:rPr>
                <w:rFonts w:hint="eastAsia" w:ascii="宋体" w:hAnsi="宋体" w:cs="Times New Roman"/>
                <w:color w:val="FF0000"/>
                <w:sz w:val="28"/>
                <w:vertAlign w:val="superscript"/>
              </w:rPr>
              <w:t>注</w:t>
            </w:r>
            <w:r>
              <w:rPr>
                <w:rFonts w:hint="eastAsia" w:ascii="宋体" w:hAnsi="宋体" w:cs="宋体"/>
                <w:color w:val="000000"/>
              </w:rPr>
              <w:t>）担任；</w:t>
            </w:r>
          </w:p>
          <w:p>
            <w:pPr>
              <w:spacing w:line="300" w:lineRule="exac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、我校具有博士学位的讲师可担任硕士论文答辩委员，但人数不超过答辩委员会成员总数的</w:t>
            </w:r>
            <w:r>
              <w:rPr>
                <w:rFonts w:ascii="宋体" w:hAnsi="宋体" w:cs="宋体"/>
                <w:color w:val="000000"/>
              </w:rPr>
              <w:t>1/2</w:t>
            </w:r>
            <w:r>
              <w:rPr>
                <w:rFonts w:hint="eastAsia" w:ascii="宋体" w:hAnsi="宋体" w:cs="宋体"/>
                <w:color w:val="000000"/>
              </w:rPr>
              <w:t>；</w:t>
            </w:r>
          </w:p>
          <w:p>
            <w:pPr>
              <w:spacing w:line="300" w:lineRule="exac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</w:t>
            </w:r>
            <w:r>
              <w:rPr>
                <w:rFonts w:hint="eastAsia" w:ascii="宋体" w:hAnsi="宋体" w:cs="宋体"/>
                <w:color w:val="000000"/>
              </w:rPr>
              <w:t>、答辩委员会主席应由具有硕士生导师资格的副教授以上（含副教授）职称的专家担任；</w:t>
            </w:r>
          </w:p>
          <w:p>
            <w:pPr>
              <w:spacing w:line="300" w:lineRule="exac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  <w:r>
              <w:rPr>
                <w:rFonts w:hint="eastAsia" w:ascii="宋体" w:hAnsi="宋体" w:cs="宋体"/>
                <w:color w:val="000000"/>
              </w:rPr>
              <w:t>、论文评阅人至多有一人可作为答辩委员会成员；</w:t>
            </w:r>
          </w:p>
          <w:p>
            <w:pPr>
              <w:spacing w:line="300" w:lineRule="exac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  <w:r>
              <w:rPr>
                <w:rFonts w:hint="eastAsia" w:ascii="宋体" w:hAnsi="宋体" w:cs="宋体"/>
                <w:color w:val="000000"/>
              </w:rPr>
              <w:t>、指导教师不能担任所指导硕士生的学位论文答辩委员会委员，但可列席硕士学位论文答辩会；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hint="eastAsia" w:ascii="宋体" w:hAnsi="宋体" w:cs="宋体"/>
                <w:color w:val="000000"/>
              </w:rPr>
              <w:t>、答辩委员会应按规定的程序开展。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之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送论文评阅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  <w:p>
            <w:pP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评阅结果符合以下条件的，可进入答辩阶段：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评阅专家的评阅得分均在</w:t>
            </w: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70分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以上；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②论文无抄袭、作假现象，无有损学术道德和学术规范。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准备论文答辩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从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打印《答辩决议》（一式两份）、《记录封面》一份，准备答辩PPT、答辩时自备笔记本电脑； </w:t>
            </w:r>
          </w:p>
        </w:tc>
        <w:tc>
          <w:tcPr>
            <w:tcW w:w="5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日之前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评阅书返回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收集整理评阅书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给学生发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评阅书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电子版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学生根据评阅书修改论文</w:t>
            </w:r>
          </w:p>
        </w:tc>
        <w:tc>
          <w:tcPr>
            <w:tcW w:w="5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答辩前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给论文打印处发论文电子版</w:t>
            </w:r>
          </w:p>
        </w:tc>
        <w:tc>
          <w:tcPr>
            <w:tcW w:w="5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答辩前三天之内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答辩前准备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发答辩须知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开答辩前布置会；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准备答辩</w:t>
            </w:r>
          </w:p>
        </w:tc>
        <w:tc>
          <w:tcPr>
            <w:tcW w:w="5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之前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（具体日期待定）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答辩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答辩当天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提前布置会场；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现场携带：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交1张2寸彩色证件照，蓝色衬底、不要红色衣服；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（学位证使用）、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答辩决议（一式两份）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答辩记录封面一份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交给答辩秘书；</w:t>
            </w:r>
          </w:p>
          <w:p>
            <w:pPr>
              <w:widowControl/>
              <w:ind w:hanging="36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笔笔记本电脑，PPT；</w:t>
            </w:r>
          </w:p>
        </w:tc>
        <w:tc>
          <w:tcPr>
            <w:tcW w:w="5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答辩结束后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整理材料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1.整理答辩记录， 6页左右；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.填写存档材料，卷内文件目录涉及的内容，除“授予学位决定”还没有之外，其他材料按目录顺序排列，并在目录上填写文件日期，上下信息填全，交回；</w:t>
            </w:r>
          </w:p>
        </w:tc>
        <w:tc>
          <w:tcPr>
            <w:tcW w:w="5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4" w:hRule="atLeast"/>
          <w:jc w:val="center"/>
        </w:trPr>
        <w:tc>
          <w:tcPr>
            <w:tcW w:w="1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提交论文：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电子版提交地址：</w:t>
            </w:r>
            <w:r>
              <w:fldChar w:fldCharType="begin"/>
            </w:r>
            <w:r>
              <w:instrText xml:space="preserve"> HYPERLINK "http://www.lib.ruc.edu.cn/"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http://www.lib.ruc.edu.cn（中国人民大学图书馆）；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fldChar w:fldCharType="end"/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2.存档论文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发到邮箱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T62514272@163.com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论文打印处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答辩通过的同学在系统http://portal.ruc.edu.cn/ypy里面点开“论文答辩——学位信息上报——核对查看所有个人信息无误后点击提交（尤其是照片，务必和你们提交的纸质版照片版本保持一致）</w:t>
            </w:r>
          </w:p>
        </w:tc>
        <w:tc>
          <w:tcPr>
            <w:tcW w:w="5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学期结束前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待学院学位委员会和学校学位委员会通过后，颁发硕士学位证书</w:t>
            </w:r>
          </w:p>
        </w:tc>
        <w:tc>
          <w:tcPr>
            <w:tcW w:w="5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特别提示：</w:t>
      </w:r>
    </w:p>
    <w:p>
      <w:pPr>
        <w:widowControl/>
        <w:jc w:val="left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1、系统填写论文题目后不得做更改，请各位同学引起重视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!</w:t>
      </w:r>
    </w:p>
    <w:p>
      <w:pPr>
        <w:widowControl/>
        <w:jc w:val="left"/>
        <w:rPr>
          <w:rFonts w:ascii="宋体" w:hAnsi="宋体" w:eastAsia="宋体" w:cs="宋体"/>
          <w:b w:val="0"/>
          <w:bCs w:val="0"/>
          <w:color w:val="FF0000"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2、</w:t>
      </w:r>
      <w:r>
        <w:rPr>
          <w:rFonts w:ascii="宋体" w:hAnsi="宋体" w:eastAsia="宋体" w:cs="宋体"/>
          <w:b w:val="0"/>
          <w:bCs w:val="0"/>
          <w:color w:val="FF0000"/>
          <w:kern w:val="0"/>
          <w:sz w:val="24"/>
          <w:szCs w:val="24"/>
        </w:rPr>
        <w:t>逾期不接收答辩计划库之外的人员申请学位；已列入答辩计划库的人员，在规定时间内不得无故中止答辩。</w:t>
      </w:r>
    </w:p>
    <w:p>
      <w:pPr>
        <w:widowControl/>
        <w:jc w:val="left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3</w:t>
      </w: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、硕士学位论文正文应与中外文摘要合订在一起。装订顺序为：封面、扉页、声明、中文摘要、外文摘要、目录、正文。</w:t>
      </w:r>
    </w:p>
    <w:p>
      <w:pPr>
        <w:widowControl/>
        <w:jc w:val="left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4</w:t>
      </w: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、图书馆所需的硕士学位论文电子版实行网上提交，提交的地址：</w:t>
      </w: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fldChar w:fldCharType="begin"/>
      </w: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instrText xml:space="preserve"> HYPERLINK "http://www.lib.ruc.edu.cn/(中国人民大学图书馆网址" </w:instrText>
      </w: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fldChar w:fldCharType="separate"/>
      </w: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http://www.lib.ruc.edu.cn/。提交成功后将收到提交回执，不在网上提交学位论文电子版的人员，学校将不予办理离校手续。</w:t>
      </w: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fldChar w:fldCharType="end"/>
      </w:r>
    </w:p>
    <w:p>
      <w:pPr>
        <w:widowControl/>
        <w:jc w:val="left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widowControl/>
        <w:jc w:val="both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吴</w:t>
      </w: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老师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 xml:space="preserve">       </w:t>
      </w: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联系电话：62511256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地址：信息楼253办公室</w:t>
      </w:r>
    </w:p>
    <w:p>
      <w:pPr>
        <w:widowControl/>
        <w:jc w:val="both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widowControl/>
        <w:jc w:val="both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widowControl/>
        <w:jc w:val="center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                                                                                         信息学院</w:t>
      </w:r>
    </w:p>
    <w:p>
      <w:pPr>
        <w:widowControl/>
        <w:jc w:val="right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201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月18日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B69E68"/>
    <w:multiLevelType w:val="singleLevel"/>
    <w:tmpl w:val="B6B69E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1C4567"/>
    <w:multiLevelType w:val="multilevel"/>
    <w:tmpl w:val="3F1C4567"/>
    <w:lvl w:ilvl="0" w:tentative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E6"/>
    <w:rsid w:val="00093A6A"/>
    <w:rsid w:val="00155031"/>
    <w:rsid w:val="001B5BDB"/>
    <w:rsid w:val="00201639"/>
    <w:rsid w:val="00203600"/>
    <w:rsid w:val="0021534A"/>
    <w:rsid w:val="0025716D"/>
    <w:rsid w:val="002B7EAF"/>
    <w:rsid w:val="00305D03"/>
    <w:rsid w:val="00311282"/>
    <w:rsid w:val="00375EDF"/>
    <w:rsid w:val="00390CD3"/>
    <w:rsid w:val="004302B9"/>
    <w:rsid w:val="004411ED"/>
    <w:rsid w:val="0048047E"/>
    <w:rsid w:val="004C3B42"/>
    <w:rsid w:val="006D3A31"/>
    <w:rsid w:val="00734ECE"/>
    <w:rsid w:val="007A20A5"/>
    <w:rsid w:val="008534E5"/>
    <w:rsid w:val="00857A08"/>
    <w:rsid w:val="00864CA0"/>
    <w:rsid w:val="00926387"/>
    <w:rsid w:val="0097045A"/>
    <w:rsid w:val="00970CE6"/>
    <w:rsid w:val="00980615"/>
    <w:rsid w:val="00A65577"/>
    <w:rsid w:val="00B00E33"/>
    <w:rsid w:val="00B15771"/>
    <w:rsid w:val="00B23EC6"/>
    <w:rsid w:val="00C52DAF"/>
    <w:rsid w:val="00C648FD"/>
    <w:rsid w:val="00C678AB"/>
    <w:rsid w:val="00D11F96"/>
    <w:rsid w:val="00DB38C4"/>
    <w:rsid w:val="00DB3EC5"/>
    <w:rsid w:val="00DE76B5"/>
    <w:rsid w:val="00ED2476"/>
    <w:rsid w:val="00F019CB"/>
    <w:rsid w:val="00F56709"/>
    <w:rsid w:val="00FA3366"/>
    <w:rsid w:val="00FB651C"/>
    <w:rsid w:val="02432235"/>
    <w:rsid w:val="03A41096"/>
    <w:rsid w:val="04395ADB"/>
    <w:rsid w:val="062F4882"/>
    <w:rsid w:val="07246AF5"/>
    <w:rsid w:val="07927E57"/>
    <w:rsid w:val="080F137D"/>
    <w:rsid w:val="0A9D4A70"/>
    <w:rsid w:val="0C9760D9"/>
    <w:rsid w:val="0DB5240E"/>
    <w:rsid w:val="0E4A5985"/>
    <w:rsid w:val="0E8C1298"/>
    <w:rsid w:val="10B84C56"/>
    <w:rsid w:val="11F329E7"/>
    <w:rsid w:val="190F6BFC"/>
    <w:rsid w:val="19957A52"/>
    <w:rsid w:val="1A751E0F"/>
    <w:rsid w:val="1C4D3B89"/>
    <w:rsid w:val="20C02CCC"/>
    <w:rsid w:val="2372101C"/>
    <w:rsid w:val="238A0BEB"/>
    <w:rsid w:val="242C514F"/>
    <w:rsid w:val="264A63BC"/>
    <w:rsid w:val="26AF5DB9"/>
    <w:rsid w:val="270B093F"/>
    <w:rsid w:val="2ABE79EF"/>
    <w:rsid w:val="2C7B0FFD"/>
    <w:rsid w:val="2E53116E"/>
    <w:rsid w:val="312F4E78"/>
    <w:rsid w:val="31F26EAE"/>
    <w:rsid w:val="324A1589"/>
    <w:rsid w:val="32920214"/>
    <w:rsid w:val="34A8500F"/>
    <w:rsid w:val="365C110C"/>
    <w:rsid w:val="39B814FE"/>
    <w:rsid w:val="3A737817"/>
    <w:rsid w:val="3CBE19D2"/>
    <w:rsid w:val="3E3B073E"/>
    <w:rsid w:val="3F784526"/>
    <w:rsid w:val="41EB6327"/>
    <w:rsid w:val="42C2293E"/>
    <w:rsid w:val="432C3F70"/>
    <w:rsid w:val="44556A90"/>
    <w:rsid w:val="448B4152"/>
    <w:rsid w:val="458C37F6"/>
    <w:rsid w:val="4616741F"/>
    <w:rsid w:val="519303A2"/>
    <w:rsid w:val="55953C72"/>
    <w:rsid w:val="55A73F43"/>
    <w:rsid w:val="59BE0597"/>
    <w:rsid w:val="5A7154FC"/>
    <w:rsid w:val="5BEA4145"/>
    <w:rsid w:val="5E3E5E3A"/>
    <w:rsid w:val="616F31EC"/>
    <w:rsid w:val="61EC5B4C"/>
    <w:rsid w:val="625C46C0"/>
    <w:rsid w:val="6390117E"/>
    <w:rsid w:val="63B37980"/>
    <w:rsid w:val="6422324A"/>
    <w:rsid w:val="64564F48"/>
    <w:rsid w:val="68400C59"/>
    <w:rsid w:val="68543234"/>
    <w:rsid w:val="6DBE309D"/>
    <w:rsid w:val="6EEB7313"/>
    <w:rsid w:val="6FA40FD1"/>
    <w:rsid w:val="700733B7"/>
    <w:rsid w:val="791321ED"/>
    <w:rsid w:val="7A6D5A89"/>
    <w:rsid w:val="7A873696"/>
    <w:rsid w:val="7A875756"/>
    <w:rsid w:val="7AE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359</Words>
  <Characters>2051</Characters>
  <Lines>17</Lines>
  <Paragraphs>4</Paragraphs>
  <TotalTime>16</TotalTime>
  <ScaleCrop>false</ScaleCrop>
  <LinksUpToDate>false</LinksUpToDate>
  <CharactersWithSpaces>2406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2018-01-18T02:17:00Z</dcterms:created>
  <dc:creator>hp</dc:creator>
  <cp:lastModifiedBy>青争青争</cp:lastModifiedBy>
  <cp:lastPrinted>2019-02-18T01:58:00Z</cp:lastPrinted>
  <dcterms:modified xsi:type="dcterms:W3CDTF">2019-02-18T05:51:34Z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